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03" w:rsidRPr="00324A03" w:rsidRDefault="00324A03" w:rsidP="00324A03">
      <w:pPr>
        <w:pBdr>
          <w:bottom w:val="single" w:sz="6" w:space="11" w:color="D1D1D1"/>
        </w:pBdr>
        <w:shd w:val="clear" w:color="auto" w:fill="F5F5F5"/>
        <w:spacing w:after="225" w:line="450" w:lineRule="atLeast"/>
        <w:outlineLvl w:val="1"/>
        <w:rPr>
          <w:rFonts w:ascii="Helvetica" w:eastAsia="Times New Roman" w:hAnsi="Helvetica" w:cs="Helvetica"/>
          <w:color w:val="303030"/>
          <w:sz w:val="42"/>
          <w:szCs w:val="42"/>
          <w:lang w:eastAsia="ru-RU"/>
        </w:rPr>
      </w:pPr>
      <w:hyperlink r:id="rId5" w:history="1">
        <w:r w:rsidRPr="00324A03">
          <w:rPr>
            <w:rFonts w:ascii="Helvetica" w:eastAsia="Times New Roman" w:hAnsi="Helvetica" w:cs="Helvetica"/>
            <w:color w:val="2698DE"/>
            <w:sz w:val="42"/>
            <w:lang w:eastAsia="ru-RU"/>
          </w:rPr>
          <w:t>Правила подготовки к диагностическим исследованиям</w:t>
        </w:r>
      </w:hyperlink>
    </w:p>
    <w:p w:rsidR="00324A03" w:rsidRPr="00324A03" w:rsidRDefault="00324A03" w:rsidP="00324A03">
      <w:pPr>
        <w:numPr>
          <w:ilvl w:val="0"/>
          <w:numId w:val="1"/>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Общий анализ крови (развернутый, включая количество тромбоцитов)</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Специальной подготовки не требуется</w:t>
      </w:r>
    </w:p>
    <w:p w:rsidR="00324A03" w:rsidRPr="00324A03" w:rsidRDefault="00324A03" w:rsidP="00324A03">
      <w:pPr>
        <w:numPr>
          <w:ilvl w:val="0"/>
          <w:numId w:val="2"/>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Общий анализ мочи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324A03" w:rsidRPr="00324A03" w:rsidRDefault="00324A03" w:rsidP="00324A03">
      <w:pPr>
        <w:numPr>
          <w:ilvl w:val="0"/>
          <w:numId w:val="3"/>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Анализ мочи по Нечипоренко</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324A03" w:rsidRPr="00324A03" w:rsidRDefault="00324A03" w:rsidP="00324A03">
      <w:pPr>
        <w:numPr>
          <w:ilvl w:val="0"/>
          <w:numId w:val="4"/>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Бактериологический посев мочи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Моча собирается в стерильную посуду так же, как для пробы Нечипоренко</w:t>
      </w:r>
    </w:p>
    <w:p w:rsidR="00324A03" w:rsidRPr="00324A03" w:rsidRDefault="00324A03" w:rsidP="00324A03">
      <w:pPr>
        <w:numPr>
          <w:ilvl w:val="0"/>
          <w:numId w:val="5"/>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Двустаканная проба – для женщин или трехстаканная проба – для мужчин</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324A03" w:rsidRPr="00324A03" w:rsidRDefault="00324A03" w:rsidP="00324A03">
      <w:pPr>
        <w:numPr>
          <w:ilvl w:val="0"/>
          <w:numId w:val="6"/>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Анализ мочи в ортостатической пробе (белок и эритроциты в моче до и после ортостатической нагрузки)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324A03" w:rsidRPr="00324A03" w:rsidRDefault="00324A03" w:rsidP="00324A03">
      <w:pPr>
        <w:numPr>
          <w:ilvl w:val="0"/>
          <w:numId w:val="7"/>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xml:space="preserve">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w:t>
      </w:r>
      <w:r w:rsidRPr="00324A03">
        <w:rPr>
          <w:rFonts w:ascii="Helvetica" w:eastAsia="Times New Roman" w:hAnsi="Helvetica" w:cs="Helvetica"/>
          <w:color w:val="6E6E6E"/>
          <w:sz w:val="21"/>
          <w:szCs w:val="21"/>
          <w:lang w:eastAsia="ru-RU"/>
        </w:rPr>
        <w:lastRenderedPageBreak/>
        <w:t>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324A03" w:rsidRPr="00324A03" w:rsidRDefault="00324A03" w:rsidP="00324A03">
      <w:pPr>
        <w:numPr>
          <w:ilvl w:val="0"/>
          <w:numId w:val="8"/>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Проба Реберга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324A03" w:rsidRPr="00324A03" w:rsidRDefault="00324A03" w:rsidP="00324A03">
      <w:pPr>
        <w:numPr>
          <w:ilvl w:val="0"/>
          <w:numId w:val="9"/>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Анализ мочи по Зимницкому</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324A03" w:rsidRPr="00324A03" w:rsidRDefault="00324A03" w:rsidP="00324A03">
      <w:pPr>
        <w:numPr>
          <w:ilvl w:val="0"/>
          <w:numId w:val="10"/>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Биохимический анализ крови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324A03" w:rsidRPr="00324A03" w:rsidRDefault="00324A03" w:rsidP="00324A03">
      <w:pPr>
        <w:numPr>
          <w:ilvl w:val="0"/>
          <w:numId w:val="11"/>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Иммуноэлектрофорез сыворотки крови и мочи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Собирается суточная моча, после чего утром сдается кровь из вены</w:t>
      </w:r>
    </w:p>
    <w:p w:rsidR="00324A03" w:rsidRPr="00324A03" w:rsidRDefault="00324A03" w:rsidP="00324A03">
      <w:pPr>
        <w:numPr>
          <w:ilvl w:val="0"/>
          <w:numId w:val="12"/>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Иммунологические анализы крови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324A03" w:rsidRPr="00324A03" w:rsidRDefault="00324A03" w:rsidP="00324A03">
      <w:pPr>
        <w:numPr>
          <w:ilvl w:val="0"/>
          <w:numId w:val="13"/>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Коагулологический анализ крови (исследование свертывающей системы)</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324A03" w:rsidRPr="00324A03" w:rsidRDefault="00324A03" w:rsidP="00324A03">
      <w:pPr>
        <w:numPr>
          <w:ilvl w:val="0"/>
          <w:numId w:val="14"/>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lastRenderedPageBreak/>
        <w:t>Анализ крови на мутации генов, связанные с поражением почек</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Сдается кровь из вены; желательно, чтобы от последнего приема пищи прошло не менее 8 часов</w:t>
      </w:r>
    </w:p>
    <w:p w:rsidR="00324A03" w:rsidRPr="00324A03" w:rsidRDefault="00324A03" w:rsidP="00324A03">
      <w:pPr>
        <w:numPr>
          <w:ilvl w:val="0"/>
          <w:numId w:val="15"/>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Анализ крови на гормоны</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324A03" w:rsidRPr="00324A03" w:rsidRDefault="00324A03" w:rsidP="00324A03">
      <w:pPr>
        <w:numPr>
          <w:ilvl w:val="0"/>
          <w:numId w:val="16"/>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Катехоламины (адреналин, норадреналин, дофамин) в моче</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324A03" w:rsidRPr="00324A03" w:rsidRDefault="00324A03" w:rsidP="00324A03">
      <w:pPr>
        <w:numPr>
          <w:ilvl w:val="0"/>
          <w:numId w:val="17"/>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Маркеры вирусных гепатитов и других инфекций</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324A03" w:rsidRPr="00324A03" w:rsidRDefault="00324A03" w:rsidP="00324A03">
      <w:pPr>
        <w:numPr>
          <w:ilvl w:val="0"/>
          <w:numId w:val="18"/>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Ультразвуковая допплерография (УЗДГ) сосудов почек</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324A03" w:rsidRPr="00324A03" w:rsidRDefault="00324A03" w:rsidP="00324A03">
      <w:pPr>
        <w:numPr>
          <w:ilvl w:val="0"/>
          <w:numId w:val="19"/>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Экскреторная урография, Компьютерная томография (КТ) почек и мочевых путей</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xml:space="preserve"> 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w:t>
      </w:r>
      <w:r w:rsidRPr="00324A03">
        <w:rPr>
          <w:rFonts w:ascii="Helvetica" w:eastAsia="Times New Roman" w:hAnsi="Helvetica" w:cs="Helvetica"/>
          <w:color w:val="6E6E6E"/>
          <w:sz w:val="21"/>
          <w:szCs w:val="21"/>
          <w:lang w:eastAsia="ru-RU"/>
        </w:rPr>
        <w:lastRenderedPageBreak/>
        <w:t>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324A03" w:rsidRPr="00324A03" w:rsidRDefault="00324A03" w:rsidP="00324A03">
      <w:pPr>
        <w:numPr>
          <w:ilvl w:val="0"/>
          <w:numId w:val="20"/>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КТ органов брюшной полости КТ поджелудочной железы КТ малого таза КТ почек</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1. Содержимое двух ампул урографина 76% развести в 1.5 литрах кипяченой воды</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2. Небольшими порциями выпить вечером накануне исследования 0.5 литра раствора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3. Утром в день исследования вместо завтрака выпить еще 0.5 литра раствора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4. Оставшиеся 0.5 литра (взять с собой) выпить за 30 мин и за 15 мин до исследования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Дополнительная подготовка к КТ малого таза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1.Не мочиться за 30-40 мин до исследования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2. Для женщин иметь при себе вагинальный тампон</w:t>
      </w:r>
    </w:p>
    <w:p w:rsidR="00324A03" w:rsidRPr="00324A03" w:rsidRDefault="00324A03" w:rsidP="00324A03">
      <w:pPr>
        <w:numPr>
          <w:ilvl w:val="0"/>
          <w:numId w:val="21"/>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Рентгенологическое исследование желудка и двенадцатиперстной кишки (гастроскопия)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324A03" w:rsidRPr="00324A03" w:rsidRDefault="00324A03" w:rsidP="00324A03">
      <w:pPr>
        <w:numPr>
          <w:ilvl w:val="0"/>
          <w:numId w:val="22"/>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Рентгенологическое исследование толстой кишки (ирригография)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324A03" w:rsidRPr="00324A03" w:rsidRDefault="00324A03" w:rsidP="00324A03">
      <w:pPr>
        <w:numPr>
          <w:ilvl w:val="0"/>
          <w:numId w:val="23"/>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Рентгенологичекое исследование почек (экскреторная внутривенная урография)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lastRenderedPageBreak/>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324A03" w:rsidRPr="00324A03" w:rsidRDefault="00324A03" w:rsidP="00324A03">
      <w:pPr>
        <w:numPr>
          <w:ilvl w:val="0"/>
          <w:numId w:val="24"/>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Магнитнорезонансная томография (МРТ) почек и мочевых путей</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324A03" w:rsidRPr="00324A03" w:rsidRDefault="00324A03" w:rsidP="00324A03">
      <w:pPr>
        <w:numPr>
          <w:ilvl w:val="0"/>
          <w:numId w:val="25"/>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пациентов к эндоскопическим методам исследования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1. Эзофагогастродуоденоскопия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xml:space="preserve">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w:t>
      </w:r>
      <w:r w:rsidRPr="00324A03">
        <w:rPr>
          <w:rFonts w:ascii="Helvetica" w:eastAsia="Times New Roman" w:hAnsi="Helvetica" w:cs="Helvetica"/>
          <w:color w:val="6E6E6E"/>
          <w:sz w:val="21"/>
          <w:szCs w:val="21"/>
          <w:lang w:eastAsia="ru-RU"/>
        </w:rPr>
        <w:lastRenderedPageBreak/>
        <w:t>ранее не проводились обследования, даже при отсутствии жалоб; наличие близких родственников, больных раком желудка.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2. Бронхоскопия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3. Фиброколоноскопия</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xml:space="preserve">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w:t>
      </w:r>
      <w:r w:rsidRPr="00324A03">
        <w:rPr>
          <w:rFonts w:ascii="Helvetica" w:eastAsia="Times New Roman" w:hAnsi="Helvetica" w:cs="Helvetica"/>
          <w:color w:val="6E6E6E"/>
          <w:sz w:val="21"/>
          <w:szCs w:val="21"/>
          <w:lang w:eastAsia="ru-RU"/>
        </w:rPr>
        <w:lastRenderedPageBreak/>
        <w:t>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324A03" w:rsidRPr="00324A03" w:rsidRDefault="00324A03" w:rsidP="00324A03">
      <w:pPr>
        <w:numPr>
          <w:ilvl w:val="0"/>
          <w:numId w:val="26"/>
        </w:numPr>
        <w:shd w:val="clear" w:color="auto" w:fill="F5F5F5"/>
        <w:spacing w:after="0" w:line="300" w:lineRule="atLeast"/>
        <w:ind w:left="375"/>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УЗИ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УЗИ органов брюшной полости</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УЗИ органов малого таза (мочевой пузырь, матка, придатки у женщин)</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 xml:space="preserve">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w:t>
      </w:r>
      <w:r w:rsidRPr="00324A03">
        <w:rPr>
          <w:rFonts w:ascii="Helvetica" w:eastAsia="Times New Roman" w:hAnsi="Helvetica" w:cs="Helvetica"/>
          <w:color w:val="6E6E6E"/>
          <w:sz w:val="21"/>
          <w:szCs w:val="21"/>
          <w:lang w:eastAsia="ru-RU"/>
        </w:rPr>
        <w:lastRenderedPageBreak/>
        <w:t>(УЗИ при беременности) проводится при умеренно заполненном мочевом пузыре (выпить 2 стакана жидкости за 1 час до процедуры);</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УЗИ мочевого пузыря и простаты у мужчин</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Подготовка к УЗИ молочных желез</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b/>
          <w:bCs/>
          <w:color w:val="6E6E6E"/>
          <w:sz w:val="21"/>
          <w:lang w:eastAsia="ru-RU"/>
        </w:rPr>
        <w:t>УЗИ щитовидной железы, УЗИ мошонки и УЗИ почек</w:t>
      </w:r>
    </w:p>
    <w:p w:rsidR="00324A03" w:rsidRPr="00324A03" w:rsidRDefault="00324A03" w:rsidP="00324A03">
      <w:pPr>
        <w:shd w:val="clear" w:color="auto" w:fill="F5F5F5"/>
        <w:spacing w:after="225" w:line="357" w:lineRule="atLeast"/>
        <w:rPr>
          <w:rFonts w:ascii="Helvetica" w:eastAsia="Times New Roman" w:hAnsi="Helvetica" w:cs="Helvetica"/>
          <w:color w:val="6E6E6E"/>
          <w:sz w:val="21"/>
          <w:szCs w:val="21"/>
          <w:lang w:eastAsia="ru-RU"/>
        </w:rPr>
      </w:pPr>
      <w:r w:rsidRPr="00324A03">
        <w:rPr>
          <w:rFonts w:ascii="Helvetica" w:eastAsia="Times New Roman" w:hAnsi="Helvetica" w:cs="Helvetica"/>
          <w:color w:val="6E6E6E"/>
          <w:sz w:val="21"/>
          <w:szCs w:val="21"/>
          <w:lang w:eastAsia="ru-RU"/>
        </w:rPr>
        <w:t>эти исследования не требуют специальной подготовки.</w:t>
      </w:r>
    </w:p>
    <w:p w:rsidR="00733D17" w:rsidRDefault="00733D17"/>
    <w:sectPr w:rsidR="00733D17" w:rsidSect="00733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F2A"/>
    <w:multiLevelType w:val="multilevel"/>
    <w:tmpl w:val="971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6785E"/>
    <w:multiLevelType w:val="multilevel"/>
    <w:tmpl w:val="0D3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B49CE"/>
    <w:multiLevelType w:val="multilevel"/>
    <w:tmpl w:val="60F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54334"/>
    <w:multiLevelType w:val="multilevel"/>
    <w:tmpl w:val="E90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A1992"/>
    <w:multiLevelType w:val="multilevel"/>
    <w:tmpl w:val="68A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A365D"/>
    <w:multiLevelType w:val="multilevel"/>
    <w:tmpl w:val="7C3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E2D16"/>
    <w:multiLevelType w:val="multilevel"/>
    <w:tmpl w:val="B3C8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C5ACB"/>
    <w:multiLevelType w:val="multilevel"/>
    <w:tmpl w:val="2F5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33882"/>
    <w:multiLevelType w:val="multilevel"/>
    <w:tmpl w:val="477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44127"/>
    <w:multiLevelType w:val="multilevel"/>
    <w:tmpl w:val="824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A2A79"/>
    <w:multiLevelType w:val="multilevel"/>
    <w:tmpl w:val="397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61DA3"/>
    <w:multiLevelType w:val="multilevel"/>
    <w:tmpl w:val="737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D27D3"/>
    <w:multiLevelType w:val="multilevel"/>
    <w:tmpl w:val="F83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A7983"/>
    <w:multiLevelType w:val="multilevel"/>
    <w:tmpl w:val="AF96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B038A"/>
    <w:multiLevelType w:val="multilevel"/>
    <w:tmpl w:val="EFA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84A6C"/>
    <w:multiLevelType w:val="multilevel"/>
    <w:tmpl w:val="C62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90EFB"/>
    <w:multiLevelType w:val="multilevel"/>
    <w:tmpl w:val="E9F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640C5"/>
    <w:multiLevelType w:val="multilevel"/>
    <w:tmpl w:val="332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B548C"/>
    <w:multiLevelType w:val="multilevel"/>
    <w:tmpl w:val="897C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00573"/>
    <w:multiLevelType w:val="multilevel"/>
    <w:tmpl w:val="920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920D8"/>
    <w:multiLevelType w:val="multilevel"/>
    <w:tmpl w:val="7A86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4247C"/>
    <w:multiLevelType w:val="multilevel"/>
    <w:tmpl w:val="E530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4F1B"/>
    <w:multiLevelType w:val="multilevel"/>
    <w:tmpl w:val="106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1228C"/>
    <w:multiLevelType w:val="multilevel"/>
    <w:tmpl w:val="38F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36CA0"/>
    <w:multiLevelType w:val="multilevel"/>
    <w:tmpl w:val="2A4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A57EA"/>
    <w:multiLevelType w:val="multilevel"/>
    <w:tmpl w:val="D0E6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9"/>
  </w:num>
  <w:num w:numId="4">
    <w:abstractNumId w:val="3"/>
  </w:num>
  <w:num w:numId="5">
    <w:abstractNumId w:val="9"/>
  </w:num>
  <w:num w:numId="6">
    <w:abstractNumId w:val="13"/>
  </w:num>
  <w:num w:numId="7">
    <w:abstractNumId w:val="21"/>
  </w:num>
  <w:num w:numId="8">
    <w:abstractNumId w:val="14"/>
  </w:num>
  <w:num w:numId="9">
    <w:abstractNumId w:val="23"/>
  </w:num>
  <w:num w:numId="10">
    <w:abstractNumId w:val="11"/>
  </w:num>
  <w:num w:numId="11">
    <w:abstractNumId w:val="2"/>
  </w:num>
  <w:num w:numId="12">
    <w:abstractNumId w:val="20"/>
  </w:num>
  <w:num w:numId="13">
    <w:abstractNumId w:val="12"/>
  </w:num>
  <w:num w:numId="14">
    <w:abstractNumId w:val="8"/>
  </w:num>
  <w:num w:numId="15">
    <w:abstractNumId w:val="18"/>
  </w:num>
  <w:num w:numId="16">
    <w:abstractNumId w:val="24"/>
  </w:num>
  <w:num w:numId="17">
    <w:abstractNumId w:val="5"/>
  </w:num>
  <w:num w:numId="18">
    <w:abstractNumId w:val="0"/>
  </w:num>
  <w:num w:numId="19">
    <w:abstractNumId w:val="15"/>
  </w:num>
  <w:num w:numId="20">
    <w:abstractNumId w:val="25"/>
  </w:num>
  <w:num w:numId="21">
    <w:abstractNumId w:val="10"/>
  </w:num>
  <w:num w:numId="22">
    <w:abstractNumId w:val="17"/>
  </w:num>
  <w:num w:numId="23">
    <w:abstractNumId w:val="16"/>
  </w:num>
  <w:num w:numId="24">
    <w:abstractNumId w:val="4"/>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4A03"/>
    <w:rsid w:val="00193EA3"/>
    <w:rsid w:val="00324A03"/>
    <w:rsid w:val="0037226E"/>
    <w:rsid w:val="00624CD4"/>
    <w:rsid w:val="00733D17"/>
    <w:rsid w:val="007628BF"/>
    <w:rsid w:val="008B2CA8"/>
    <w:rsid w:val="00933DE4"/>
    <w:rsid w:val="00BF491C"/>
    <w:rsid w:val="00DD5D9B"/>
    <w:rsid w:val="00F16DC9"/>
    <w:rsid w:val="00FA2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17"/>
  </w:style>
  <w:style w:type="paragraph" w:styleId="2">
    <w:name w:val="heading 2"/>
    <w:basedOn w:val="a"/>
    <w:link w:val="20"/>
    <w:uiPriority w:val="9"/>
    <w:qFormat/>
    <w:rsid w:val="00324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4A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4A03"/>
    <w:rPr>
      <w:color w:val="0000FF"/>
      <w:u w:val="single"/>
    </w:rPr>
  </w:style>
  <w:style w:type="character" w:styleId="a4">
    <w:name w:val="Strong"/>
    <w:basedOn w:val="a0"/>
    <w:uiPriority w:val="22"/>
    <w:qFormat/>
    <w:rsid w:val="00324A03"/>
    <w:rPr>
      <w:b/>
      <w:bCs/>
    </w:rPr>
  </w:style>
  <w:style w:type="paragraph" w:styleId="a5">
    <w:name w:val="Normal (Web)"/>
    <w:basedOn w:val="a"/>
    <w:uiPriority w:val="99"/>
    <w:semiHidden/>
    <w:unhideWhenUsed/>
    <w:rsid w:val="00324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803412">
      <w:bodyDiv w:val="1"/>
      <w:marLeft w:val="0"/>
      <w:marRight w:val="0"/>
      <w:marTop w:val="0"/>
      <w:marBottom w:val="0"/>
      <w:divBdr>
        <w:top w:val="none" w:sz="0" w:space="0" w:color="auto"/>
        <w:left w:val="none" w:sz="0" w:space="0" w:color="auto"/>
        <w:bottom w:val="none" w:sz="0" w:space="0" w:color="auto"/>
        <w:right w:val="none" w:sz="0" w:space="0" w:color="auto"/>
      </w:divBdr>
      <w:divsChild>
        <w:div w:id="206930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banapa.ru/index.php/uslugi/pravila-podgotovki-k-diagnosticheskim-issledovani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16092</Characters>
  <Application>Microsoft Office Word</Application>
  <DocSecurity>0</DocSecurity>
  <Lines>134</Lines>
  <Paragraphs>37</Paragraphs>
  <ScaleCrop>false</ScaleCrop>
  <Company>Microsoft</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2017-03-15T09:25:00Z</dcterms:created>
  <dcterms:modified xsi:type="dcterms:W3CDTF">2017-03-15T09:25:00Z</dcterms:modified>
</cp:coreProperties>
</file>